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1F092D12"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A95FCE">
        <w:rPr>
          <w:rFonts w:ascii="Arial" w:hAnsi="Arial" w:cs="Arial"/>
          <w:color w:val="000000"/>
          <w:sz w:val="20"/>
          <w:u w:val="single"/>
        </w:rPr>
        <w:t>10,275,205</w:t>
      </w:r>
      <w:r w:rsidRPr="00B33AB0">
        <w:rPr>
          <w:rFonts w:ascii="Arial" w:hAnsi="Arial" w:cs="Arial"/>
          <w:color w:val="000000"/>
          <w:sz w:val="20"/>
          <w:u w:val="single"/>
        </w:rPr>
        <w:tab/>
      </w:r>
    </w:p>
    <w:p w14:paraId="63143CC9" w14:textId="77BE4940"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B22812">
        <w:rPr>
          <w:rFonts w:ascii="Arial" w:hAnsi="Arial" w:cs="Arial"/>
          <w:color w:val="000000"/>
          <w:sz w:val="20"/>
          <w:u w:val="single"/>
        </w:rPr>
        <w:t xml:space="preserve">November </w:t>
      </w:r>
      <w:r w:rsidR="00C7420C">
        <w:rPr>
          <w:rFonts w:ascii="Arial" w:hAnsi="Arial" w:cs="Arial"/>
          <w:color w:val="000000"/>
          <w:sz w:val="20"/>
          <w:u w:val="single"/>
        </w:rPr>
        <w:t>2022</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2BC5A563"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r w:rsidRPr="00810DBC">
        <w:rPr>
          <w:rFonts w:ascii="Arial" w:hAnsi="Arial" w:cs="Arial"/>
          <w:lang w:val="en-GB"/>
        </w:rPr>
        <w:t>NanoSphere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 xml:space="preserve">third 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s in the United States, Canada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r>
        <w:rPr>
          <w:rFonts w:ascii="Arial" w:hAnsi="Arial" w:cs="Arial"/>
        </w:rPr>
        <w:t>NanoSphere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lastRenderedPageBreak/>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78CEF87" w:rsidR="000D254B" w:rsidRPr="00B33AB0" w:rsidRDefault="00DF1D35"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7FBD7625" w14:textId="57613AE5" w:rsidR="00251B07" w:rsidRPr="00B33AB0" w:rsidRDefault="00B0650C" w:rsidP="00251B07">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The Board of Directors and its audit committee remain unchanged from the previous month.</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as a whole </w:t>
      </w:r>
      <w:r w:rsidR="003E69F6">
        <w:rPr>
          <w:rFonts w:ascii="Arial" w:hAnsi="Arial" w:cs="Arial"/>
          <w:sz w:val="20"/>
        </w:rPr>
        <w:t>ha</w:t>
      </w:r>
      <w:r w:rsidR="0018665A">
        <w:rPr>
          <w:rFonts w:ascii="Arial" w:hAnsi="Arial" w:cs="Arial"/>
          <w:sz w:val="20"/>
        </w:rPr>
        <w:t>s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regulated and subject to changes in regulations on short notice, as is the case with the Cannabis sector. </w:t>
      </w:r>
      <w:r w:rsidR="00D07E14">
        <w:rPr>
          <w:rFonts w:ascii="Arial" w:hAnsi="Arial" w:cs="Arial"/>
          <w:sz w:val="20"/>
        </w:rPr>
        <w:t xml:space="preserve">This has </w:t>
      </w:r>
      <w:r w:rsidR="00BC5E52">
        <w:rPr>
          <w:rFonts w:ascii="Arial" w:hAnsi="Arial" w:cs="Arial"/>
          <w:sz w:val="20"/>
        </w:rPr>
        <w:t xml:space="preserve">had an effect on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t xml:space="preserve">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w:t>
      </w:r>
      <w:r w:rsidRPr="00352847">
        <w:rPr>
          <w:rFonts w:ascii="Arial" w:hAnsi="Arial" w:cs="Arial"/>
          <w:sz w:val="20"/>
        </w:rPr>
        <w:lastRenderedPageBreak/>
        <w:t>adverse results of the outbreak and its effects on the Company’s business or results of operations at this time.</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722D7A04"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1462D4">
        <w:rPr>
          <w:rFonts w:ascii="Arial" w:hAnsi="Arial" w:cs="Arial"/>
          <w:sz w:val="20"/>
          <w:u w:val="single"/>
        </w:rPr>
        <w:t>1</w:t>
      </w:r>
      <w:r w:rsidR="00B22812">
        <w:rPr>
          <w:rFonts w:ascii="Arial" w:hAnsi="Arial" w:cs="Arial"/>
          <w:sz w:val="20"/>
          <w:u w:val="single"/>
        </w:rPr>
        <w:t>2</w:t>
      </w:r>
      <w:r w:rsidR="00BE136F">
        <w:rPr>
          <w:rFonts w:ascii="Arial" w:hAnsi="Arial" w:cs="Arial"/>
          <w:sz w:val="20"/>
          <w:u w:val="single"/>
        </w:rPr>
        <w:t>/</w:t>
      </w:r>
      <w:r w:rsidR="001462D4">
        <w:rPr>
          <w:rFonts w:ascii="Arial" w:hAnsi="Arial" w:cs="Arial"/>
          <w:sz w:val="20"/>
          <w:u w:val="single"/>
        </w:rPr>
        <w:t>0</w:t>
      </w:r>
      <w:r w:rsidR="00B22812">
        <w:rPr>
          <w:rFonts w:ascii="Arial" w:hAnsi="Arial" w:cs="Arial"/>
          <w:sz w:val="20"/>
          <w:u w:val="single"/>
        </w:rPr>
        <w:t>5</w:t>
      </w:r>
      <w:r w:rsidR="00BE136F">
        <w:rPr>
          <w:rFonts w:ascii="Arial" w:hAnsi="Arial" w:cs="Arial"/>
          <w:sz w:val="20"/>
          <w:u w:val="single"/>
        </w:rPr>
        <w:t>/2022</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66E8A7FC" w14:textId="77777777" w:rsidR="003C1193" w:rsidRPr="00B33AB0" w:rsidRDefault="003C1193" w:rsidP="003C1193">
      <w:pPr>
        <w:pStyle w:val="BodyText"/>
        <w:tabs>
          <w:tab w:val="left" w:pos="9180"/>
        </w:tabs>
        <w:spacing w:before="0"/>
        <w:rPr>
          <w:rFonts w:ascii="Arial" w:hAnsi="Arial" w:cs="Arial"/>
          <w:sz w:val="20"/>
        </w:rPr>
      </w:pP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273FC510" w:rsidR="007A677D" w:rsidRPr="00B33AB0" w:rsidRDefault="004E1F64" w:rsidP="00B33AB0">
            <w:pPr>
              <w:pStyle w:val="BodyText"/>
              <w:rPr>
                <w:rFonts w:ascii="Arial" w:hAnsi="Arial" w:cs="Arial"/>
                <w:sz w:val="20"/>
              </w:rPr>
            </w:pPr>
            <w:r>
              <w:rPr>
                <w:rFonts w:ascii="Arial" w:hAnsi="Arial" w:cs="Arial"/>
                <w:sz w:val="20"/>
              </w:rPr>
              <w:t>20</w:t>
            </w:r>
            <w:r w:rsidR="00F042AF">
              <w:rPr>
                <w:rFonts w:ascii="Arial" w:hAnsi="Arial" w:cs="Arial"/>
                <w:sz w:val="20"/>
              </w:rPr>
              <w:t>2</w:t>
            </w:r>
            <w:r w:rsidR="00BE136F">
              <w:rPr>
                <w:rFonts w:ascii="Arial" w:hAnsi="Arial" w:cs="Arial"/>
                <w:sz w:val="20"/>
              </w:rPr>
              <w:t>2</w:t>
            </w:r>
            <w:r>
              <w:rPr>
                <w:rFonts w:ascii="Arial" w:hAnsi="Arial" w:cs="Arial"/>
                <w:sz w:val="20"/>
              </w:rPr>
              <w:t xml:space="preserve"> </w:t>
            </w:r>
            <w:r w:rsidR="00B22812">
              <w:rPr>
                <w:rFonts w:ascii="Arial" w:hAnsi="Arial" w:cs="Arial"/>
                <w:sz w:val="20"/>
              </w:rPr>
              <w:t>November</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6EB9EC44" w:rsidR="007A677D" w:rsidRPr="00B33AB0" w:rsidRDefault="00BE136F" w:rsidP="007A677D">
            <w:pPr>
              <w:pStyle w:val="BodyText"/>
              <w:rPr>
                <w:rFonts w:ascii="Arial" w:hAnsi="Arial" w:cs="Arial"/>
                <w:sz w:val="20"/>
              </w:rPr>
            </w:pPr>
            <w:r>
              <w:rPr>
                <w:rFonts w:ascii="Arial" w:hAnsi="Arial" w:cs="Arial"/>
                <w:sz w:val="20"/>
              </w:rPr>
              <w:t>2022/</w:t>
            </w:r>
            <w:r w:rsidR="001462D4">
              <w:rPr>
                <w:rFonts w:ascii="Arial" w:hAnsi="Arial" w:cs="Arial"/>
                <w:sz w:val="20"/>
              </w:rPr>
              <w:t>1</w:t>
            </w:r>
            <w:r w:rsidR="00B22812">
              <w:rPr>
                <w:rFonts w:ascii="Arial" w:hAnsi="Arial" w:cs="Arial"/>
                <w:sz w:val="20"/>
              </w:rPr>
              <w:t>2</w:t>
            </w:r>
            <w:r>
              <w:rPr>
                <w:rFonts w:ascii="Arial" w:hAnsi="Arial" w:cs="Arial"/>
                <w:sz w:val="20"/>
              </w:rPr>
              <w:t>/</w:t>
            </w:r>
            <w:r w:rsidR="001462D4">
              <w:rPr>
                <w:rFonts w:ascii="Arial" w:hAnsi="Arial" w:cs="Arial"/>
                <w:sz w:val="20"/>
              </w:rPr>
              <w:t>0</w:t>
            </w:r>
            <w:r w:rsidR="00B22812">
              <w:rPr>
                <w:rFonts w:ascii="Arial" w:hAnsi="Arial" w:cs="Arial"/>
                <w:sz w:val="20"/>
              </w:rPr>
              <w:t>5</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2C69F3CB" w:rsidR="00640E94" w:rsidRPr="00B33AB0" w:rsidRDefault="00FA7B53" w:rsidP="00FA7B53">
            <w:pPr>
              <w:pStyle w:val="BodyText"/>
              <w:rPr>
                <w:rFonts w:ascii="Arial" w:hAnsi="Arial" w:cs="Arial"/>
                <w:sz w:val="20"/>
              </w:rPr>
            </w:pPr>
            <w:r>
              <w:rPr>
                <w:rFonts w:ascii="Arial" w:hAnsi="Arial" w:cs="Arial"/>
                <w:sz w:val="20"/>
              </w:rPr>
              <w:t>#</w:t>
            </w:r>
            <w:r w:rsidR="00155E0B">
              <w:rPr>
                <w:rFonts w:ascii="Arial" w:hAnsi="Arial" w:cs="Arial"/>
                <w:sz w:val="20"/>
              </w:rPr>
              <w:t>488-1090 West Georgia St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E084732"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BC 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58FE2BB4" w:rsidR="00FA7B53" w:rsidRPr="00B33AB0" w:rsidRDefault="00963F1F" w:rsidP="00FA7B53">
            <w:pPr>
              <w:pStyle w:val="BodyText"/>
              <w:rPr>
                <w:rFonts w:ascii="Arial" w:hAnsi="Arial" w:cs="Arial"/>
                <w:sz w:val="20"/>
              </w:rPr>
            </w:pPr>
            <w:r>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D72D" w14:textId="77777777" w:rsidR="009167C5" w:rsidRDefault="009167C5">
      <w:r>
        <w:separator/>
      </w:r>
    </w:p>
  </w:endnote>
  <w:endnote w:type="continuationSeparator" w:id="0">
    <w:p w14:paraId="7A503DF3" w14:textId="77777777" w:rsidR="009167C5" w:rsidRDefault="0091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7E2CA0E0" w:rsidR="00E72724" w:rsidRPr="00A64C58" w:rsidRDefault="008B71FD" w:rsidP="0050399F">
    <w:pPr>
      <w:pStyle w:val="Footer"/>
      <w:tabs>
        <w:tab w:val="clear" w:pos="8640"/>
        <w:tab w:val="left" w:pos="6930"/>
        <w:tab w:val="right" w:pos="9360"/>
      </w:tabs>
      <w:rPr>
        <w:rFonts w:ascii="Arial" w:hAnsi="Arial" w:cs="Arial"/>
        <w:sz w:val="16"/>
        <w:szCs w:val="16"/>
      </w:rPr>
    </w:pPr>
    <w:r w:rsidRPr="008B71FD">
      <w:rPr>
        <w:noProof/>
        <w:vanish/>
        <w:sz w:val="16"/>
      </w:rPr>
      <w:t>{</w:t>
    </w:r>
    <w:r w:rsidRPr="008B71FD">
      <w:rPr>
        <w:noProof/>
        <w:sz w:val="16"/>
      </w:rPr>
      <w:t xml:space="preserve">010012000-00156041; 1 </w:t>
    </w:r>
    <w:r w:rsidRPr="008B71FD">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0818" w14:textId="77777777" w:rsidR="009167C5" w:rsidRDefault="009167C5">
      <w:pPr>
        <w:rPr>
          <w:noProof/>
        </w:rPr>
      </w:pPr>
      <w:r>
        <w:rPr>
          <w:noProof/>
        </w:rPr>
        <w:separator/>
      </w:r>
    </w:p>
  </w:footnote>
  <w:footnote w:type="continuationSeparator" w:id="0">
    <w:p w14:paraId="2B70B266" w14:textId="77777777" w:rsidR="009167C5" w:rsidRDefault="0091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56D31"/>
    <w:rsid w:val="000618FD"/>
    <w:rsid w:val="00063101"/>
    <w:rsid w:val="00072873"/>
    <w:rsid w:val="00073DC5"/>
    <w:rsid w:val="0007455C"/>
    <w:rsid w:val="0007712C"/>
    <w:rsid w:val="000813C6"/>
    <w:rsid w:val="00082B75"/>
    <w:rsid w:val="000924A1"/>
    <w:rsid w:val="000926F1"/>
    <w:rsid w:val="000A07BD"/>
    <w:rsid w:val="000A1AB1"/>
    <w:rsid w:val="000A219D"/>
    <w:rsid w:val="000B25C1"/>
    <w:rsid w:val="000B31F8"/>
    <w:rsid w:val="000B67BE"/>
    <w:rsid w:val="000C49DC"/>
    <w:rsid w:val="000C673B"/>
    <w:rsid w:val="000D254B"/>
    <w:rsid w:val="000D69E5"/>
    <w:rsid w:val="000E52E2"/>
    <w:rsid w:val="000E54E3"/>
    <w:rsid w:val="000E784B"/>
    <w:rsid w:val="001011E2"/>
    <w:rsid w:val="0010329B"/>
    <w:rsid w:val="001032EC"/>
    <w:rsid w:val="00111306"/>
    <w:rsid w:val="001125CB"/>
    <w:rsid w:val="00116A93"/>
    <w:rsid w:val="00116C35"/>
    <w:rsid w:val="001220D0"/>
    <w:rsid w:val="001237DA"/>
    <w:rsid w:val="0012450D"/>
    <w:rsid w:val="00125132"/>
    <w:rsid w:val="00136BE2"/>
    <w:rsid w:val="00136BF4"/>
    <w:rsid w:val="00137F6E"/>
    <w:rsid w:val="0014091B"/>
    <w:rsid w:val="00141E6F"/>
    <w:rsid w:val="001425B0"/>
    <w:rsid w:val="001462D4"/>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25B26"/>
    <w:rsid w:val="00526649"/>
    <w:rsid w:val="0054379D"/>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E60C4"/>
    <w:rsid w:val="005E6F45"/>
    <w:rsid w:val="005F0169"/>
    <w:rsid w:val="005F07D6"/>
    <w:rsid w:val="005F1CEC"/>
    <w:rsid w:val="005F40B3"/>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36A18"/>
    <w:rsid w:val="00841BC7"/>
    <w:rsid w:val="0084685B"/>
    <w:rsid w:val="0085118E"/>
    <w:rsid w:val="00853074"/>
    <w:rsid w:val="00854F6D"/>
    <w:rsid w:val="0085673F"/>
    <w:rsid w:val="00867A40"/>
    <w:rsid w:val="00871872"/>
    <w:rsid w:val="00892D65"/>
    <w:rsid w:val="00894613"/>
    <w:rsid w:val="00894FB4"/>
    <w:rsid w:val="00897686"/>
    <w:rsid w:val="008A60ED"/>
    <w:rsid w:val="008B71FD"/>
    <w:rsid w:val="008B7E92"/>
    <w:rsid w:val="008C366C"/>
    <w:rsid w:val="008C6A21"/>
    <w:rsid w:val="008C7B1C"/>
    <w:rsid w:val="008D268A"/>
    <w:rsid w:val="008D364E"/>
    <w:rsid w:val="008D686D"/>
    <w:rsid w:val="008E2F73"/>
    <w:rsid w:val="008E56B9"/>
    <w:rsid w:val="008E57BC"/>
    <w:rsid w:val="008F5A11"/>
    <w:rsid w:val="008F62F5"/>
    <w:rsid w:val="00900E4B"/>
    <w:rsid w:val="00903F76"/>
    <w:rsid w:val="0091250E"/>
    <w:rsid w:val="0091447F"/>
    <w:rsid w:val="00914A36"/>
    <w:rsid w:val="00915D02"/>
    <w:rsid w:val="009167C5"/>
    <w:rsid w:val="00917254"/>
    <w:rsid w:val="00920F57"/>
    <w:rsid w:val="0092245D"/>
    <w:rsid w:val="00922A46"/>
    <w:rsid w:val="00923231"/>
    <w:rsid w:val="009233A0"/>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50D7"/>
    <w:rsid w:val="00A955E7"/>
    <w:rsid w:val="00A95607"/>
    <w:rsid w:val="00A95FCE"/>
    <w:rsid w:val="00AA20C5"/>
    <w:rsid w:val="00AA53FF"/>
    <w:rsid w:val="00AB6998"/>
    <w:rsid w:val="00AD25C3"/>
    <w:rsid w:val="00AD7FC9"/>
    <w:rsid w:val="00AE2296"/>
    <w:rsid w:val="00AE3FDF"/>
    <w:rsid w:val="00B04100"/>
    <w:rsid w:val="00B0650C"/>
    <w:rsid w:val="00B1386D"/>
    <w:rsid w:val="00B1433B"/>
    <w:rsid w:val="00B16EE0"/>
    <w:rsid w:val="00B22563"/>
    <w:rsid w:val="00B22812"/>
    <w:rsid w:val="00B22DE8"/>
    <w:rsid w:val="00B33AB0"/>
    <w:rsid w:val="00B33F07"/>
    <w:rsid w:val="00B46688"/>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42ECD"/>
    <w:rsid w:val="00C47F48"/>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B18F5"/>
    <w:rsid w:val="00DB25E5"/>
    <w:rsid w:val="00DB3D06"/>
    <w:rsid w:val="00DB4239"/>
    <w:rsid w:val="00DB4E9F"/>
    <w:rsid w:val="00DC31D4"/>
    <w:rsid w:val="00DD1A1D"/>
    <w:rsid w:val="00DE3554"/>
    <w:rsid w:val="00DF133C"/>
    <w:rsid w:val="00DF1D35"/>
    <w:rsid w:val="00DF22D8"/>
    <w:rsid w:val="00DF408C"/>
    <w:rsid w:val="00E00DD6"/>
    <w:rsid w:val="00E020A7"/>
    <w:rsid w:val="00E026D6"/>
    <w:rsid w:val="00E1240D"/>
    <w:rsid w:val="00E1506E"/>
    <w:rsid w:val="00E1510E"/>
    <w:rsid w:val="00E1752B"/>
    <w:rsid w:val="00E30F10"/>
    <w:rsid w:val="00E36141"/>
    <w:rsid w:val="00E412C8"/>
    <w:rsid w:val="00E42F43"/>
    <w:rsid w:val="00E513A7"/>
    <w:rsid w:val="00E53B57"/>
    <w:rsid w:val="00E623DE"/>
    <w:rsid w:val="00E666B0"/>
    <w:rsid w:val="00E66B63"/>
    <w:rsid w:val="00E72724"/>
    <w:rsid w:val="00E7275F"/>
    <w:rsid w:val="00E83E58"/>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1393</Words>
  <Characters>7942</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010012000-00156041; 1 /Font=8</dc:subject>
  <dc:creator>lstdjoh</dc:creator>
  <cp:keywords/>
  <dc:description/>
  <cp:lastModifiedBy>Stella Chen</cp:lastModifiedBy>
  <cp:revision>10</cp:revision>
  <cp:lastPrinted>2019-05-07T14:12:00Z</cp:lastPrinted>
  <dcterms:created xsi:type="dcterms:W3CDTF">2022-09-28T21:18:00Z</dcterms:created>
  <dcterms:modified xsi:type="dcterms:W3CDTF">2022-12-05T21:06:00Z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